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8367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44"/>
          <w:szCs w:val="52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项目背景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：我国煤炭在能源生产和消费中占比高，城乡建筑发展迅速，供热和空调建筑面积大。同时，居住建筑单位面积供暖能耗高，能源浪费和环境污染问题严峻。在此背景下，国家出台多项政策推动节能减排和绿色发展，山东海乐新能源科技有限公司响应号召，凭借自身技术优势，参与废弃矿井改造及地热综合利用供暖项目，以实现能源的高效利用和可持续发展。</w:t>
      </w:r>
    </w:p>
    <w:p w14:paraId="5128BC8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44"/>
          <w:szCs w:val="52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项目痛点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：煤炭主导能源结构导致大气污染严重，减少煤炭使用迫在眉睫。我国居住建筑能耗高，与发达国家相比，单位面积供暖能耗为其 3 倍左右，能源浪费严重。传统供热方式造成环境污染，城镇禁止建设中小型燃煤锅炉房，急需发展替代供热方式。</w:t>
      </w:r>
    </w:p>
    <w:p w14:paraId="5FF3204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44"/>
          <w:szCs w:val="52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可行性分析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：山东海乐新能源科技有限公司是国家高新技术企业，拥有多项专利技术，累计完成 300 余个供暖（冷）项目，市场占有率领先。浙江大学能源工程学院科研实力雄厚，能提供技术保障和智力支持。项目采用的地（水）源热泵 + 太阳能光热 + 光伏 + 水储能多能互补技术成熟，且封闭型回灌技术、光热 / 光伏 / 地热智能联控系统、水储能技术等关键技术先进，可实现能源高效利用和可持续开发。项目规划供暖面积 100 万㎡，综合节能率≥80%，预计寿命期收益 1.48 亿元（20 年），年减碳量 9 万吨，具有良好的经济效益、社会效益和环境效益，对投资方吸引力大。</w:t>
      </w:r>
    </w:p>
    <w:p w14:paraId="6E8A768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44"/>
          <w:szCs w:val="52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技术目的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：实现多种清洁能源的高效整合，根据不同季节和负荷需求灵活调配能源，提高能源利用效率，降低能源成本。开发废弃矿井地热资源，实现浅中深层地热资源的梯级开发和综合利用，探索新的开发利用模式。减少碳排放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，实现零污染供暖，改善当地大气环境质量，应对气候变化。提高系统运行效率和稳定性，为大规模居民区和公共建筑提供稳定、可靠的供暖服务，提升居民生活质量。</w:t>
      </w:r>
    </w:p>
    <w:p w14:paraId="7D3B05B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44"/>
          <w:szCs w:val="52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方案优势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：技术创新，多能互补技术充分发挥各能源优势，智能联控系统实现能源设备智能协同控制，提高系统稳定性和可靠性。资源可持续利用，封闭型回灌技术避免地热资源过度开采，保护地下水资源；水储能技术提升储能效率、降低成本，保障项目经济运行。经济效益显著，项目可盘活废弃矿井资产 10 多亿元，较传统供暖方式节能 50% 以上，降低运营成本，为投资方带来稳定收益。环境效益突出，全生命周期碳排放减少 90%，符合国家绿色发展战略要求。</w:t>
      </w:r>
    </w:p>
    <w:p w14:paraId="1FFF866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  <w:rPr>
          <w:rFonts w:hint="eastAsia" w:ascii="宋体" w:hAnsi="宋体" w:eastAsia="宋体" w:cs="宋体"/>
          <w:sz w:val="44"/>
          <w:szCs w:val="52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相关产品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AFB"/>
        </w:rPr>
        <w:t>：能源管理方面，有烟气余热回收系统项目，可回收烟气余热生产电力和蒸汽。地源热泵中央空调机组，包括商用地能中央空调、户式地能空调等，适用于多种场所，可实现 “三联供”，节能效果显著。工程型太阳能集热设备，与地源热泵组合可全天候产生 50°C 以上热水。余热发电设备，如 300 - 1500kW 余热发电装置，可实现企业供热和 24 小时热水不间断供应，并网不上网，自动控制效率高。</w:t>
      </w:r>
    </w:p>
    <w:p w14:paraId="2908305E">
      <w:pPr>
        <w:rPr>
          <w:rFonts w:hint="eastAsia" w:ascii="宋体" w:hAnsi="宋体" w:eastAsia="宋体" w:cs="宋体"/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873AC"/>
    <w:multiLevelType w:val="multilevel"/>
    <w:tmpl w:val="297873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2025-05-12T02:58:59Z</dcterms:created>
  <dc:creator>Administrator</dc:creator>
  <cp:lastModifiedBy>郭泉</cp:lastModifiedBy>
  <dcterms:modified xsi:type="dcterms:W3CDTF">2025-05-12T02:59:22Z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eyJoZGlkIjoiMzUxN2E5OTg0ZDliNjg2ZDgzZDNjMWM5NzBkNjJkZWQiLCJ1c2VySWQiOiIyMTU5NDI4MjUifQ==</vt:lpwstr>
  </property>
  <property fmtid="{D5CDD505-2E9C-101B-9397-08002B2CF9AE}" pid="4" name="ICV">
    <vt:lpwstr>B7B60D33010C48439A7E34E4F371D6AC_12</vt:lpwstr>
  </property>
</Properties>
</file>